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关于适用《行政复议法》第三十条</w:t>
      </w:r>
    </w:p>
    <w:p>
      <w:pPr>
        <w:pStyle w:val="7"/>
        <w:rPr>
          <w:rFonts w:hint="eastAsia"/>
        </w:rPr>
      </w:pPr>
      <w:r>
        <w:t>第一款有关问题的批复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法释〔2003〕5号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2003年1月9日最高人民</w:t>
      </w:r>
      <w:bookmarkStart w:id="0" w:name="_GoBack"/>
      <w:bookmarkEnd w:id="0"/>
      <w:r>
        <w:t>法院审判委员会第1263次会议通过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2003</w:t>
      </w:r>
      <w:r>
        <w:t>年2月25日最高人民法院公告公布　自2003年2月28日起施行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山西省高级人民法院：</w:t>
      </w:r>
    </w:p>
    <w:p>
      <w:pPr>
        <w:pStyle w:val="12"/>
        <w:jc w:val="both"/>
        <w:rPr>
          <w:rFonts w:hint="eastAsia"/>
        </w:rPr>
      </w:pPr>
      <w:r>
        <w:t>你院《关于适用〈</w:t>
      </w:r>
      <w:r>
        <w:rPr>
          <w:rFonts w:hint="eastAsia"/>
        </w:rPr>
        <w:t>行政复议法〉第三十条第一款有关问题的请示》收悉。经研究，答复如下：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根据《行政复议法》第三十条第一款的规定，公民、法人或者其他组织认为行政机关确认土地、矿藏、水流、森林、山岭、草原、荒地、滩涂、海域等自然资源的所有权或者使用权的具体行政行为，侵犯其已经依法取得的自然资源所有权或者使用权的，经行政复议后，才可以向人民法院提起行政诉讼，但法律另有规定的除外；对涉及自然资源所有权或者使用权的行政处罚、行政强制措施等其他具体行政行为提起行政诉讼的，不适用《行政复议法》第三十条第一款的规定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D5BD5"/>
    <w:rsid w:val="00323D76"/>
    <w:rsid w:val="02380A4E"/>
    <w:rsid w:val="02C54CFB"/>
    <w:rsid w:val="042F174E"/>
    <w:rsid w:val="063D5BD5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9496EA0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2017-11-02T10:18:00Z</dcterms:created>
  <dc:creator>Administrator</dc:creator>
  <cp:lastModifiedBy>Administrator</cp:lastModifiedBy>
  <dcterms:modified xsi:type="dcterms:W3CDTF">2017-11-02T10:55:10Z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